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12803513" w:rsidR="00B53A27" w:rsidRPr="00936D55" w:rsidRDefault="00226346" w:rsidP="00B53A27">
            <w:pPr>
              <w:spacing w:after="0" w:line="276" w:lineRule="auto"/>
              <w:rPr>
                <w:rFonts w:asciiTheme="minorHAnsi" w:hAnsiTheme="minorHAnsi" w:cstheme="minorHAnsi"/>
              </w:rPr>
            </w:pPr>
            <w:r w:rsidRPr="00226346">
              <w:rPr>
                <w:rFonts w:asciiTheme="minorHAnsi" w:hAnsiTheme="minorHAnsi" w:cstheme="minorHAnsi"/>
              </w:rPr>
              <w:t>Educación para Jóvenes y Adultos</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028A18C9" w:rsidR="00B53A27" w:rsidRPr="00936D55" w:rsidRDefault="00226346" w:rsidP="00B53A27">
            <w:pPr>
              <w:spacing w:after="0" w:line="276" w:lineRule="auto"/>
              <w:rPr>
                <w:rFonts w:asciiTheme="minorHAnsi" w:hAnsiTheme="minorHAnsi" w:cstheme="minorHAnsi"/>
              </w:rPr>
            </w:pPr>
            <w:r w:rsidRPr="00226346">
              <w:rPr>
                <w:rFonts w:asciiTheme="minorHAnsi" w:hAnsiTheme="minorHAnsi" w:cstheme="minorHAnsi"/>
              </w:rPr>
              <w:t>Instituto Sinaloense para la Educación de los Jóvenes y Adultos (ISEJA)</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673F71FF" w:rsidR="00B53A27" w:rsidRPr="00936D55" w:rsidRDefault="00226346" w:rsidP="00B53A27">
            <w:pPr>
              <w:spacing w:after="0" w:line="276" w:lineRule="auto"/>
              <w:rPr>
                <w:rFonts w:asciiTheme="minorHAnsi" w:hAnsiTheme="minorHAnsi" w:cstheme="minorHAnsi"/>
              </w:rPr>
            </w:pPr>
            <w:r>
              <w:rPr>
                <w:rFonts w:asciiTheme="minorHAnsi" w:hAnsiTheme="minorHAnsi" w:cstheme="minorHAnsi"/>
              </w:rPr>
              <w:t>ISEJA</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47FF5AF7" w:rsidR="00B53A27" w:rsidRPr="00936D55" w:rsidRDefault="00226346" w:rsidP="00B53A27">
            <w:pPr>
              <w:spacing w:after="0" w:line="276" w:lineRule="auto"/>
              <w:rPr>
                <w:rFonts w:asciiTheme="minorHAnsi" w:hAnsiTheme="minorHAnsi" w:cstheme="minorHAnsi"/>
              </w:rPr>
            </w:pPr>
            <w:r>
              <w:rPr>
                <w:rFonts w:asciiTheme="minorHAnsi" w:hAnsiTheme="minorHAnsi" w:cstheme="minorHAnsi"/>
              </w:rPr>
              <w:t>2024</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64F9BA5C" w:rsidR="00B53A27" w:rsidRPr="00936D55" w:rsidRDefault="00226346" w:rsidP="00B53A27">
            <w:pPr>
              <w:spacing w:after="0" w:line="276" w:lineRule="auto"/>
              <w:rPr>
                <w:rFonts w:asciiTheme="minorHAnsi" w:hAnsiTheme="minorHAnsi" w:cstheme="minorHAnsi"/>
              </w:rPr>
            </w:pPr>
            <w:r>
              <w:rPr>
                <w:rFonts w:asciiTheme="minorHAnsi" w:hAnsiTheme="minorHAnsi" w:cstheme="minorHAnsi"/>
              </w:rPr>
              <w:t>Específica (de proceso con diseño)</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226346">
        <w:trPr>
          <w:trHeight w:val="886"/>
          <w:tblHeader/>
        </w:trPr>
        <w:tc>
          <w:tcPr>
            <w:tcW w:w="1942"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226346" w:rsidRPr="00226346" w14:paraId="3F02C46D" w14:textId="77777777" w:rsidTr="00EE6297">
        <w:tc>
          <w:tcPr>
            <w:tcW w:w="1942" w:type="dxa"/>
            <w:vAlign w:val="center"/>
          </w:tcPr>
          <w:p w14:paraId="70425297" w14:textId="27D32131" w:rsidR="00226346" w:rsidRPr="00226346" w:rsidRDefault="00226346" w:rsidP="00226346">
            <w:pPr>
              <w:spacing w:after="0" w:line="276" w:lineRule="auto"/>
              <w:rPr>
                <w:rFonts w:asciiTheme="minorHAnsi" w:hAnsiTheme="minorHAnsi" w:cstheme="minorHAnsi"/>
                <w:sz w:val="20"/>
                <w:szCs w:val="20"/>
              </w:rPr>
            </w:pPr>
            <w:r w:rsidRPr="00226346">
              <w:rPr>
                <w:rFonts w:asciiTheme="minorHAnsi" w:hAnsiTheme="minorHAnsi" w:cstheme="minorHAnsi"/>
                <w:sz w:val="20"/>
                <w:szCs w:val="20"/>
              </w:rPr>
              <w:t xml:space="preserve">Informe                   / Recomendaciones / </w:t>
            </w:r>
          </w:p>
          <w:p w14:paraId="2A631956" w14:textId="266E4B0F" w:rsidR="00226346" w:rsidRPr="00226346" w:rsidRDefault="00226346" w:rsidP="00226346">
            <w:pPr>
              <w:spacing w:after="0" w:line="276" w:lineRule="auto"/>
              <w:jc w:val="center"/>
              <w:rPr>
                <w:rFonts w:asciiTheme="minorHAnsi" w:hAnsiTheme="minorHAnsi" w:cstheme="minorHAnsi"/>
                <w:b/>
                <w:sz w:val="20"/>
                <w:szCs w:val="20"/>
              </w:rPr>
            </w:pPr>
            <w:r w:rsidRPr="00226346">
              <w:rPr>
                <w:rFonts w:asciiTheme="minorHAnsi" w:hAnsiTheme="minorHAnsi" w:cstheme="minorHAnsi"/>
                <w:b/>
                <w:sz w:val="20"/>
                <w:szCs w:val="20"/>
              </w:rPr>
              <w:t>1</w:t>
            </w:r>
          </w:p>
        </w:tc>
        <w:tc>
          <w:tcPr>
            <w:tcW w:w="2226" w:type="dxa"/>
            <w:vAlign w:val="center"/>
          </w:tcPr>
          <w:p w14:paraId="36CFBCCD" w14:textId="4FEA5190" w:rsidR="00226346" w:rsidRPr="00226346" w:rsidRDefault="00226346" w:rsidP="00EE6297">
            <w:pPr>
              <w:spacing w:after="0" w:line="276" w:lineRule="auto"/>
              <w:jc w:val="both"/>
              <w:rPr>
                <w:rFonts w:asciiTheme="minorHAnsi" w:hAnsiTheme="minorHAnsi" w:cstheme="minorHAnsi"/>
                <w:sz w:val="20"/>
                <w:szCs w:val="20"/>
              </w:rPr>
            </w:pPr>
            <w:r w:rsidRPr="00226346">
              <w:rPr>
                <w:sz w:val="20"/>
                <w:szCs w:val="20"/>
              </w:rPr>
              <w:t>Para reforzar este punto, sería útil incluir de manera más explícita en el documento diagnóstico una frase como: “El objetivo es disminuir el porcentaje de personas en rezago educativo mediante...”.</w:t>
            </w:r>
          </w:p>
        </w:tc>
        <w:tc>
          <w:tcPr>
            <w:tcW w:w="2753" w:type="dxa"/>
            <w:vAlign w:val="center"/>
          </w:tcPr>
          <w:p w14:paraId="5A8AE607" w14:textId="6F253009" w:rsidR="00226346" w:rsidRPr="00226346" w:rsidRDefault="00EE6297" w:rsidP="00EE6297">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Pr="00EE6297">
              <w:rPr>
                <w:rFonts w:asciiTheme="minorHAnsi" w:hAnsiTheme="minorHAnsi" w:cstheme="minorHAnsi"/>
                <w:sz w:val="20"/>
                <w:szCs w:val="20"/>
              </w:rPr>
              <w:t>e atenderá la recomendación y se incluirá de manera explícita en el documento Diagnóstico el objetivo que se quiere alcanzar y las estrategias y acciones para lograrlo, dicho diagnostico será integrado al Programa Operativo Anual 2026 del Instituto Sinaloense para la Educación de los Jóvenes y Adultos.</w:t>
            </w:r>
          </w:p>
        </w:tc>
        <w:tc>
          <w:tcPr>
            <w:tcW w:w="2303" w:type="dxa"/>
            <w:vAlign w:val="center"/>
          </w:tcPr>
          <w:p w14:paraId="1DA7876B" w14:textId="7CA02C10" w:rsidR="00226346" w:rsidRPr="00226346" w:rsidRDefault="00226346" w:rsidP="00EE6297">
            <w:pPr>
              <w:spacing w:after="0" w:line="276" w:lineRule="auto"/>
              <w:jc w:val="both"/>
              <w:rPr>
                <w:rFonts w:asciiTheme="minorHAnsi" w:hAnsiTheme="minorHAnsi" w:cstheme="minorHAnsi"/>
                <w:sz w:val="20"/>
                <w:szCs w:val="20"/>
              </w:rPr>
            </w:pPr>
            <w:r w:rsidRPr="00226346">
              <w:rPr>
                <w:sz w:val="20"/>
                <w:szCs w:val="20"/>
              </w:rPr>
              <w:t>Incluir de manera más explícita en el documento diagnóstico una frase como: “El objetivo es disminuir el porcentaje de personas en rezago educativo mediante...”.</w:t>
            </w:r>
          </w:p>
        </w:tc>
      </w:tr>
      <w:tr w:rsidR="00226346" w:rsidRPr="00226346" w14:paraId="4D3DAD0C" w14:textId="77777777" w:rsidTr="00EE6297">
        <w:tc>
          <w:tcPr>
            <w:tcW w:w="1942" w:type="dxa"/>
            <w:vAlign w:val="center"/>
          </w:tcPr>
          <w:p w14:paraId="6EBB4888" w14:textId="77777777" w:rsidR="00226346" w:rsidRPr="00226346" w:rsidRDefault="00226346" w:rsidP="00226346">
            <w:pPr>
              <w:spacing w:after="0" w:line="276" w:lineRule="auto"/>
              <w:rPr>
                <w:rFonts w:asciiTheme="minorHAnsi" w:hAnsiTheme="minorHAnsi" w:cstheme="minorHAnsi"/>
                <w:sz w:val="20"/>
                <w:szCs w:val="20"/>
              </w:rPr>
            </w:pPr>
            <w:r w:rsidRPr="00226346">
              <w:rPr>
                <w:rFonts w:asciiTheme="minorHAnsi" w:hAnsiTheme="minorHAnsi" w:cstheme="minorHAnsi"/>
                <w:sz w:val="20"/>
                <w:szCs w:val="20"/>
              </w:rPr>
              <w:t xml:space="preserve">Informe                   / Recomendaciones / </w:t>
            </w:r>
          </w:p>
          <w:p w14:paraId="6836580C" w14:textId="46A31A43" w:rsidR="00226346" w:rsidRPr="00226346" w:rsidRDefault="00226346" w:rsidP="00226346">
            <w:pPr>
              <w:spacing w:after="0" w:line="276" w:lineRule="auto"/>
              <w:jc w:val="center"/>
              <w:rPr>
                <w:rFonts w:asciiTheme="minorHAnsi" w:hAnsiTheme="minorHAnsi" w:cstheme="minorHAnsi"/>
                <w:b/>
                <w:sz w:val="20"/>
                <w:szCs w:val="20"/>
              </w:rPr>
            </w:pPr>
            <w:r w:rsidRPr="00226346">
              <w:rPr>
                <w:rFonts w:asciiTheme="minorHAnsi" w:hAnsiTheme="minorHAnsi" w:cstheme="minorHAnsi"/>
                <w:b/>
                <w:sz w:val="20"/>
                <w:szCs w:val="20"/>
              </w:rPr>
              <w:t>2</w:t>
            </w:r>
          </w:p>
        </w:tc>
        <w:tc>
          <w:tcPr>
            <w:tcW w:w="2226" w:type="dxa"/>
            <w:vAlign w:val="center"/>
          </w:tcPr>
          <w:p w14:paraId="07DCA505" w14:textId="6B47E0EB" w:rsidR="00226346" w:rsidRPr="00226346" w:rsidRDefault="00226346" w:rsidP="00EE6297">
            <w:pPr>
              <w:spacing w:after="0" w:line="276" w:lineRule="auto"/>
              <w:jc w:val="both"/>
              <w:rPr>
                <w:rFonts w:asciiTheme="minorHAnsi" w:hAnsiTheme="minorHAnsi" w:cstheme="minorHAnsi"/>
                <w:sz w:val="20"/>
                <w:szCs w:val="20"/>
              </w:rPr>
            </w:pPr>
            <w:r w:rsidRPr="00226346">
              <w:rPr>
                <w:sz w:val="20"/>
                <w:szCs w:val="20"/>
              </w:rPr>
              <w:t xml:space="preserve">Continuar brindando los servicios educativos de manera gratuita y mediante estrategias de atención, con un enfoque integral e incluyente, ampliando la cobertura educativa a grupos en situación de vulnerabilidad, especialmente a Jornaleros Agrícolas, Adultos Mayores, al grupo especial de niños y Jóvenes de 10 a 14 años, pacientes de los centros de rehabilitación, entre otros, contando con la </w:t>
            </w:r>
            <w:r w:rsidRPr="00226346">
              <w:rPr>
                <w:sz w:val="20"/>
                <w:szCs w:val="20"/>
              </w:rPr>
              <w:lastRenderedPageBreak/>
              <w:t>participación y solidaridad social.</w:t>
            </w:r>
          </w:p>
        </w:tc>
        <w:tc>
          <w:tcPr>
            <w:tcW w:w="2753" w:type="dxa"/>
            <w:vAlign w:val="center"/>
          </w:tcPr>
          <w:p w14:paraId="36B3706E" w14:textId="0B3ECA26" w:rsidR="00226346" w:rsidRPr="00226346" w:rsidRDefault="00EE6297" w:rsidP="00EE6297">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Es factible, </w:t>
            </w:r>
            <w:r>
              <w:rPr>
                <w:rFonts w:asciiTheme="minorHAnsi" w:hAnsiTheme="minorHAnsi" w:cstheme="minorHAnsi"/>
                <w:sz w:val="20"/>
                <w:szCs w:val="20"/>
              </w:rPr>
              <w:t>s</w:t>
            </w:r>
            <w:r w:rsidRPr="00EE6297">
              <w:rPr>
                <w:rFonts w:asciiTheme="minorHAnsi" w:hAnsiTheme="minorHAnsi" w:cstheme="minorHAnsi"/>
                <w:sz w:val="20"/>
                <w:szCs w:val="20"/>
              </w:rPr>
              <w:t>e continuará otorgando los servicios educativos con un enfoque inclusivo y equitativo, acorde a las características y necesidades de los grupos prioritarios como Jornaleros Agrícolas, Adultos Mayores, al grupo especial de niños y Jóvenes de 10 a 14 años, pacientes de los centros de rehabilitación, entre otros.</w:t>
            </w:r>
          </w:p>
        </w:tc>
        <w:tc>
          <w:tcPr>
            <w:tcW w:w="2303" w:type="dxa"/>
            <w:vAlign w:val="center"/>
          </w:tcPr>
          <w:p w14:paraId="1CED0DF8" w14:textId="27C75E45" w:rsidR="00226346" w:rsidRPr="00226346" w:rsidRDefault="00226346" w:rsidP="00EE6297">
            <w:pPr>
              <w:spacing w:after="0" w:line="276" w:lineRule="auto"/>
              <w:jc w:val="both"/>
              <w:rPr>
                <w:rFonts w:asciiTheme="minorHAnsi" w:hAnsiTheme="minorHAnsi" w:cstheme="minorHAnsi"/>
                <w:sz w:val="20"/>
                <w:szCs w:val="20"/>
              </w:rPr>
            </w:pPr>
            <w:r w:rsidRPr="00226346">
              <w:rPr>
                <w:sz w:val="20"/>
                <w:szCs w:val="20"/>
              </w:rPr>
              <w:t>Continuar brindando los servicios educativos de manera gratuita y mediante estrategias de atención.</w:t>
            </w:r>
          </w:p>
        </w:tc>
      </w:tr>
      <w:tr w:rsidR="00226346" w:rsidRPr="00226346" w14:paraId="6202F808" w14:textId="77777777" w:rsidTr="00EE6297">
        <w:tc>
          <w:tcPr>
            <w:tcW w:w="1942" w:type="dxa"/>
            <w:vAlign w:val="center"/>
          </w:tcPr>
          <w:p w14:paraId="2FCCAB4C" w14:textId="77777777" w:rsidR="00226346" w:rsidRPr="00226346" w:rsidRDefault="00226346" w:rsidP="00226346">
            <w:pPr>
              <w:spacing w:after="0" w:line="276" w:lineRule="auto"/>
              <w:rPr>
                <w:rFonts w:asciiTheme="minorHAnsi" w:hAnsiTheme="minorHAnsi" w:cstheme="minorHAnsi"/>
                <w:sz w:val="20"/>
                <w:szCs w:val="20"/>
              </w:rPr>
            </w:pPr>
            <w:r w:rsidRPr="00226346">
              <w:rPr>
                <w:rFonts w:asciiTheme="minorHAnsi" w:hAnsiTheme="minorHAnsi" w:cstheme="minorHAnsi"/>
                <w:sz w:val="20"/>
                <w:szCs w:val="20"/>
              </w:rPr>
              <w:t xml:space="preserve">Informe                   / Recomendaciones / </w:t>
            </w:r>
          </w:p>
          <w:p w14:paraId="0D31D824" w14:textId="78326ABE" w:rsidR="00226346" w:rsidRPr="00226346" w:rsidRDefault="00226346" w:rsidP="00226346">
            <w:pPr>
              <w:spacing w:after="0" w:line="276" w:lineRule="auto"/>
              <w:jc w:val="center"/>
              <w:rPr>
                <w:rFonts w:asciiTheme="minorHAnsi" w:hAnsiTheme="minorHAnsi" w:cstheme="minorHAnsi"/>
                <w:b/>
                <w:sz w:val="20"/>
                <w:szCs w:val="20"/>
              </w:rPr>
            </w:pPr>
            <w:r w:rsidRPr="00226346">
              <w:rPr>
                <w:rFonts w:asciiTheme="minorHAnsi" w:hAnsiTheme="minorHAnsi" w:cstheme="minorHAnsi"/>
                <w:b/>
                <w:sz w:val="20"/>
                <w:szCs w:val="20"/>
              </w:rPr>
              <w:t>3</w:t>
            </w:r>
          </w:p>
        </w:tc>
        <w:tc>
          <w:tcPr>
            <w:tcW w:w="2226" w:type="dxa"/>
            <w:vAlign w:val="center"/>
          </w:tcPr>
          <w:p w14:paraId="4C3DA5D5" w14:textId="3F8C8EE2" w:rsidR="00226346" w:rsidRPr="00226346" w:rsidRDefault="00226346" w:rsidP="00EE6297">
            <w:pPr>
              <w:spacing w:after="0" w:line="276" w:lineRule="auto"/>
              <w:jc w:val="both"/>
              <w:rPr>
                <w:rFonts w:asciiTheme="minorHAnsi" w:hAnsiTheme="minorHAnsi" w:cstheme="minorHAnsi"/>
                <w:sz w:val="20"/>
                <w:szCs w:val="20"/>
              </w:rPr>
            </w:pPr>
            <w:r w:rsidRPr="00226346">
              <w:rPr>
                <w:sz w:val="20"/>
                <w:szCs w:val="20"/>
              </w:rPr>
              <w:t>Continuar actualizando el documento diagnóstico para conocer el beneficio de la operación del programa en la población que presenta el programa.</w:t>
            </w:r>
          </w:p>
        </w:tc>
        <w:tc>
          <w:tcPr>
            <w:tcW w:w="2753" w:type="dxa"/>
            <w:vAlign w:val="center"/>
          </w:tcPr>
          <w:p w14:paraId="740FC487" w14:textId="3BF2E3C2" w:rsidR="00226346" w:rsidRPr="00226346" w:rsidRDefault="00EE6297" w:rsidP="00EE6297">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a</w:t>
            </w:r>
            <w:r w:rsidRPr="00EE6297">
              <w:rPr>
                <w:rFonts w:asciiTheme="minorHAnsi" w:hAnsiTheme="minorHAnsi" w:cstheme="minorHAnsi"/>
                <w:sz w:val="20"/>
                <w:szCs w:val="20"/>
              </w:rPr>
              <w:t>tendiendo las recomendaciones, se realizará la actualización del documento Diagnóstico, para su integración al documento del Programa Operativo Anual 2026 del Instituto Sinaloense para la Educación de los Jóvenes y Adultos.</w:t>
            </w:r>
          </w:p>
        </w:tc>
        <w:tc>
          <w:tcPr>
            <w:tcW w:w="2303" w:type="dxa"/>
            <w:vAlign w:val="center"/>
          </w:tcPr>
          <w:p w14:paraId="1BF35B51" w14:textId="26784BAB" w:rsidR="00226346" w:rsidRPr="00226346" w:rsidRDefault="00226346" w:rsidP="00EE6297">
            <w:pPr>
              <w:spacing w:after="0" w:line="276" w:lineRule="auto"/>
              <w:jc w:val="both"/>
              <w:rPr>
                <w:rFonts w:asciiTheme="minorHAnsi" w:hAnsiTheme="minorHAnsi" w:cstheme="minorHAnsi"/>
                <w:sz w:val="20"/>
                <w:szCs w:val="20"/>
              </w:rPr>
            </w:pPr>
            <w:r w:rsidRPr="00226346">
              <w:rPr>
                <w:sz w:val="20"/>
                <w:szCs w:val="20"/>
              </w:rPr>
              <w:t>Continuar actualizando el documento diagnóstico.</w:t>
            </w:r>
          </w:p>
        </w:tc>
      </w:tr>
      <w:tr w:rsidR="00226346" w:rsidRPr="00226346" w14:paraId="1D42DB2E" w14:textId="77777777" w:rsidTr="00EE6297">
        <w:tc>
          <w:tcPr>
            <w:tcW w:w="1942" w:type="dxa"/>
            <w:vAlign w:val="center"/>
          </w:tcPr>
          <w:p w14:paraId="5AD38AD8" w14:textId="77777777" w:rsidR="00226346" w:rsidRPr="00226346" w:rsidRDefault="00226346" w:rsidP="00226346">
            <w:pPr>
              <w:spacing w:after="0" w:line="276" w:lineRule="auto"/>
              <w:rPr>
                <w:rFonts w:asciiTheme="minorHAnsi" w:hAnsiTheme="minorHAnsi" w:cstheme="minorHAnsi"/>
                <w:sz w:val="20"/>
                <w:szCs w:val="20"/>
              </w:rPr>
            </w:pPr>
            <w:r w:rsidRPr="00226346">
              <w:rPr>
                <w:rFonts w:asciiTheme="minorHAnsi" w:hAnsiTheme="minorHAnsi" w:cstheme="minorHAnsi"/>
                <w:sz w:val="20"/>
                <w:szCs w:val="20"/>
              </w:rPr>
              <w:t xml:space="preserve">Informe                   / Recomendaciones / </w:t>
            </w:r>
          </w:p>
          <w:p w14:paraId="7D2C9369" w14:textId="4662FFEF" w:rsidR="00226346" w:rsidRPr="00226346" w:rsidRDefault="00226346" w:rsidP="00226346">
            <w:pPr>
              <w:spacing w:after="0" w:line="276" w:lineRule="auto"/>
              <w:jc w:val="center"/>
              <w:rPr>
                <w:rFonts w:asciiTheme="minorHAnsi" w:hAnsiTheme="minorHAnsi" w:cstheme="minorHAnsi"/>
                <w:b/>
                <w:bCs/>
                <w:sz w:val="20"/>
                <w:szCs w:val="20"/>
              </w:rPr>
            </w:pPr>
            <w:r w:rsidRPr="00226346">
              <w:rPr>
                <w:rFonts w:asciiTheme="minorHAnsi" w:hAnsiTheme="minorHAnsi" w:cstheme="minorHAnsi"/>
                <w:b/>
                <w:bCs/>
                <w:sz w:val="20"/>
                <w:szCs w:val="20"/>
              </w:rPr>
              <w:t>4</w:t>
            </w:r>
          </w:p>
        </w:tc>
        <w:tc>
          <w:tcPr>
            <w:tcW w:w="2226" w:type="dxa"/>
            <w:vAlign w:val="center"/>
          </w:tcPr>
          <w:p w14:paraId="32201423" w14:textId="6BC95912" w:rsidR="00226346" w:rsidRPr="00226346" w:rsidRDefault="00226346" w:rsidP="00EE6297">
            <w:pPr>
              <w:spacing w:after="0" w:line="276" w:lineRule="auto"/>
              <w:jc w:val="both"/>
              <w:rPr>
                <w:rFonts w:asciiTheme="minorHAnsi" w:hAnsiTheme="minorHAnsi" w:cstheme="minorHAnsi"/>
                <w:sz w:val="20"/>
                <w:szCs w:val="20"/>
              </w:rPr>
            </w:pPr>
            <w:r w:rsidRPr="00226346">
              <w:rPr>
                <w:sz w:val="20"/>
                <w:szCs w:val="20"/>
              </w:rPr>
              <w:t xml:space="preserve">Unificar la sintaxis del objetivo central de las reglas de operación (ROP), árbol de objetivos y el de la MIR del Pp. </w:t>
            </w:r>
          </w:p>
        </w:tc>
        <w:tc>
          <w:tcPr>
            <w:tcW w:w="2753" w:type="dxa"/>
            <w:vAlign w:val="center"/>
          </w:tcPr>
          <w:p w14:paraId="13B15943" w14:textId="1EEAB8F8" w:rsidR="00226346" w:rsidRPr="00226346" w:rsidRDefault="00EE6297" w:rsidP="00EE6297">
            <w:pPr>
              <w:spacing w:after="0" w:line="276" w:lineRule="auto"/>
              <w:jc w:val="both"/>
              <w:rPr>
                <w:rFonts w:asciiTheme="minorHAnsi" w:hAnsiTheme="minorHAnsi" w:cstheme="minorHAnsi"/>
                <w:sz w:val="20"/>
                <w:szCs w:val="20"/>
              </w:rPr>
            </w:pPr>
            <w:r w:rsidRPr="00EE6297">
              <w:rPr>
                <w:rFonts w:asciiTheme="minorHAnsi" w:hAnsiTheme="minorHAnsi" w:cstheme="minorHAnsi"/>
                <w:sz w:val="20"/>
                <w:szCs w:val="20"/>
              </w:rPr>
              <w:t xml:space="preserve">No es factible de atender, debido a que el ISEJA no tiene las atribuciones para estandarizar la redacción de los documentos normativos (Reglas de operación (ROP)) del Programa Presupuestario, “toda vez que el INEA es el encargado como organismo normativo y rector en el país de la educación para adultos, mediante la orientación, supervisión y evaluación de sus objetivos, contenidos, programas, acreditación y certificación de estudios, a fin de preservar y fortalecer la unidad nacional de esta función social”, esto de conformidad con lo establecido en la Clausula Segunda.- Compromisos Fundamentales, fracción 3 del Convenio de Coordinación para la Descentralización de los Servicios de Educación para Adultos del Estado de Sinaloa, publicado en el Diario Oficial el </w:t>
            </w:r>
            <w:r w:rsidRPr="00EE6297">
              <w:rPr>
                <w:rFonts w:asciiTheme="minorHAnsi" w:hAnsiTheme="minorHAnsi" w:cstheme="minorHAnsi"/>
                <w:sz w:val="20"/>
                <w:szCs w:val="20"/>
              </w:rPr>
              <w:lastRenderedPageBreak/>
              <w:t>Día martes 15 de agosto del 2000.</w:t>
            </w:r>
          </w:p>
        </w:tc>
        <w:tc>
          <w:tcPr>
            <w:tcW w:w="2303" w:type="dxa"/>
            <w:vAlign w:val="center"/>
          </w:tcPr>
          <w:p w14:paraId="15BA0AF3" w14:textId="6FFBA759" w:rsidR="00226346" w:rsidRPr="00226346" w:rsidRDefault="00226346" w:rsidP="00EE6297">
            <w:pPr>
              <w:spacing w:after="0" w:line="276" w:lineRule="auto"/>
              <w:jc w:val="both"/>
              <w:rPr>
                <w:rFonts w:asciiTheme="minorHAnsi" w:hAnsiTheme="minorHAnsi" w:cstheme="minorHAnsi"/>
                <w:sz w:val="20"/>
                <w:szCs w:val="20"/>
              </w:rPr>
            </w:pPr>
            <w:r w:rsidRPr="00226346">
              <w:rPr>
                <w:sz w:val="20"/>
                <w:szCs w:val="20"/>
              </w:rPr>
              <w:lastRenderedPageBreak/>
              <w:t>Unificar la sintaxis del objetivo central de las reglas de operación (ROP), árbol de objetivos y el de la MIR del Pp.</w:t>
            </w:r>
          </w:p>
        </w:tc>
      </w:tr>
      <w:tr w:rsidR="00EE6297" w:rsidRPr="00226346" w14:paraId="4A2F64E8" w14:textId="77777777" w:rsidTr="00EE6297">
        <w:tc>
          <w:tcPr>
            <w:tcW w:w="1942" w:type="dxa"/>
            <w:vAlign w:val="center"/>
          </w:tcPr>
          <w:p w14:paraId="5E6AF17F" w14:textId="77777777" w:rsidR="00EE6297" w:rsidRPr="00226346" w:rsidRDefault="00EE6297" w:rsidP="00EE6297">
            <w:pPr>
              <w:spacing w:after="0" w:line="276" w:lineRule="auto"/>
              <w:rPr>
                <w:rFonts w:asciiTheme="minorHAnsi" w:hAnsiTheme="minorHAnsi" w:cstheme="minorHAnsi"/>
                <w:sz w:val="20"/>
                <w:szCs w:val="20"/>
              </w:rPr>
            </w:pPr>
            <w:r w:rsidRPr="00226346">
              <w:rPr>
                <w:rFonts w:asciiTheme="minorHAnsi" w:hAnsiTheme="minorHAnsi" w:cstheme="minorHAnsi"/>
                <w:sz w:val="20"/>
                <w:szCs w:val="20"/>
              </w:rPr>
              <w:t xml:space="preserve">Informe                   / Recomendaciones / </w:t>
            </w:r>
          </w:p>
          <w:p w14:paraId="45F6EA51" w14:textId="7D2AC86B" w:rsidR="00EE6297" w:rsidRPr="00226346" w:rsidRDefault="00EE6297" w:rsidP="00EE6297">
            <w:pPr>
              <w:spacing w:after="0" w:line="276" w:lineRule="auto"/>
              <w:jc w:val="center"/>
              <w:rPr>
                <w:rFonts w:asciiTheme="minorHAnsi" w:hAnsiTheme="minorHAnsi" w:cstheme="minorHAnsi"/>
                <w:b/>
                <w:bCs/>
                <w:sz w:val="20"/>
                <w:szCs w:val="20"/>
              </w:rPr>
            </w:pPr>
            <w:r w:rsidRPr="00226346">
              <w:rPr>
                <w:rFonts w:asciiTheme="minorHAnsi" w:hAnsiTheme="minorHAnsi" w:cstheme="minorHAnsi"/>
                <w:b/>
                <w:bCs/>
                <w:sz w:val="20"/>
                <w:szCs w:val="20"/>
              </w:rPr>
              <w:t>5</w:t>
            </w:r>
          </w:p>
        </w:tc>
        <w:tc>
          <w:tcPr>
            <w:tcW w:w="2226" w:type="dxa"/>
            <w:vAlign w:val="center"/>
          </w:tcPr>
          <w:p w14:paraId="2C87EC62" w14:textId="266AFE61" w:rsidR="00EE6297" w:rsidRPr="00226346" w:rsidRDefault="00EE6297" w:rsidP="00EE6297">
            <w:pPr>
              <w:spacing w:after="0" w:line="276" w:lineRule="auto"/>
              <w:jc w:val="both"/>
              <w:rPr>
                <w:rFonts w:asciiTheme="minorHAnsi" w:hAnsiTheme="minorHAnsi" w:cstheme="minorHAnsi"/>
                <w:sz w:val="20"/>
                <w:szCs w:val="20"/>
              </w:rPr>
            </w:pPr>
            <w:r w:rsidRPr="00226346">
              <w:rPr>
                <w:sz w:val="20"/>
                <w:szCs w:val="20"/>
              </w:rPr>
              <w:t xml:space="preserve">Estandarizar la redacción de los documentos normativos del Pp </w:t>
            </w:r>
          </w:p>
        </w:tc>
        <w:tc>
          <w:tcPr>
            <w:tcW w:w="2753" w:type="dxa"/>
            <w:vAlign w:val="center"/>
          </w:tcPr>
          <w:p w14:paraId="758445F6" w14:textId="78787BFE" w:rsidR="00EE6297" w:rsidRPr="00226346" w:rsidRDefault="00EE6297" w:rsidP="00EE6297">
            <w:pPr>
              <w:spacing w:after="0" w:line="276" w:lineRule="auto"/>
              <w:jc w:val="both"/>
              <w:rPr>
                <w:rFonts w:asciiTheme="minorHAnsi" w:hAnsiTheme="minorHAnsi" w:cstheme="minorHAnsi"/>
                <w:sz w:val="20"/>
                <w:szCs w:val="20"/>
              </w:rPr>
            </w:pPr>
            <w:r>
              <w:rPr>
                <w:rFonts w:asciiTheme="minorHAnsi" w:hAnsiTheme="minorHAnsi" w:cstheme="minorHAnsi"/>
                <w:sz w:val="20"/>
                <w:szCs w:val="20"/>
              </w:rPr>
              <w:t>No es factible de atender. Debido a que el ISEJA no tiene las atribuciones para estandarizar</w:t>
            </w:r>
            <w:r w:rsidRPr="00226346">
              <w:rPr>
                <w:sz w:val="20"/>
                <w:szCs w:val="20"/>
              </w:rPr>
              <w:t xml:space="preserve"> la redacción de los documentos normativos</w:t>
            </w:r>
            <w:r>
              <w:rPr>
                <w:sz w:val="20"/>
                <w:szCs w:val="20"/>
              </w:rPr>
              <w:t xml:space="preserve"> (R</w:t>
            </w:r>
            <w:r w:rsidRPr="00226346">
              <w:rPr>
                <w:sz w:val="20"/>
                <w:szCs w:val="20"/>
              </w:rPr>
              <w:t>eglas de operación (ROP</w:t>
            </w:r>
            <w:r>
              <w:rPr>
                <w:sz w:val="20"/>
                <w:szCs w:val="20"/>
              </w:rPr>
              <w:t xml:space="preserve">)) </w:t>
            </w:r>
            <w:r w:rsidRPr="00226346">
              <w:rPr>
                <w:sz w:val="20"/>
                <w:szCs w:val="20"/>
              </w:rPr>
              <w:t>del</w:t>
            </w:r>
            <w:r>
              <w:rPr>
                <w:sz w:val="20"/>
                <w:szCs w:val="20"/>
              </w:rPr>
              <w:t xml:space="preserve"> Programa Presupuestario, “toda vez que el INEA es el encargado </w:t>
            </w:r>
            <w:r w:rsidRPr="0018427E">
              <w:rPr>
                <w:sz w:val="20"/>
                <w:szCs w:val="20"/>
              </w:rPr>
              <w:t>como organismo normativo y rector en el país de la educación para adultos, mediante la orientación, supervisión y evaluación de sus objetivos, contenidos, programas, acreditación y certificación de estudios, a fin de preservar y fortalecer la unidad nacional de esta función social</w:t>
            </w:r>
            <w:r>
              <w:rPr>
                <w:sz w:val="20"/>
                <w:szCs w:val="20"/>
              </w:rPr>
              <w:t>”, esto de conformidad con lo establecido en la Clausula Segunda.- C</w:t>
            </w:r>
            <w:r w:rsidRPr="00682B8D">
              <w:rPr>
                <w:sz w:val="20"/>
                <w:szCs w:val="20"/>
              </w:rPr>
              <w:t xml:space="preserve">ompromisos </w:t>
            </w:r>
            <w:r>
              <w:rPr>
                <w:sz w:val="20"/>
                <w:szCs w:val="20"/>
              </w:rPr>
              <w:t>F</w:t>
            </w:r>
            <w:r w:rsidRPr="00682B8D">
              <w:rPr>
                <w:sz w:val="20"/>
                <w:szCs w:val="20"/>
              </w:rPr>
              <w:t>undamentales</w:t>
            </w:r>
            <w:r>
              <w:rPr>
                <w:sz w:val="20"/>
                <w:szCs w:val="20"/>
              </w:rPr>
              <w:t xml:space="preserve">, fracción 3 del Convenio </w:t>
            </w:r>
            <w:r w:rsidRPr="00DA19A3">
              <w:rPr>
                <w:sz w:val="20"/>
                <w:szCs w:val="20"/>
              </w:rPr>
              <w:t>de Coordinación para la Descentralización de los Servicios de Educación para Adultos del Estado de Sinaloa</w:t>
            </w:r>
            <w:r>
              <w:rPr>
                <w:sz w:val="20"/>
                <w:szCs w:val="20"/>
              </w:rPr>
              <w:t xml:space="preserve">, publicado en el Diario Oficial el Día martes 15 de agosto del 2000. </w:t>
            </w:r>
          </w:p>
        </w:tc>
        <w:tc>
          <w:tcPr>
            <w:tcW w:w="2303" w:type="dxa"/>
            <w:vAlign w:val="center"/>
          </w:tcPr>
          <w:p w14:paraId="6E7CF0D1" w14:textId="2450056F" w:rsidR="00EE6297" w:rsidRPr="00226346" w:rsidRDefault="00EE6297" w:rsidP="00EE6297">
            <w:pPr>
              <w:spacing w:after="0" w:line="276" w:lineRule="auto"/>
              <w:jc w:val="both"/>
              <w:rPr>
                <w:rFonts w:asciiTheme="minorHAnsi" w:hAnsiTheme="minorHAnsi" w:cstheme="minorHAnsi"/>
                <w:sz w:val="20"/>
                <w:szCs w:val="20"/>
              </w:rPr>
            </w:pPr>
            <w:r w:rsidRPr="00226346">
              <w:rPr>
                <w:sz w:val="20"/>
                <w:szCs w:val="20"/>
              </w:rPr>
              <w:t>Estandarizar la redacción de los documentos normativos del Pp.</w:t>
            </w:r>
          </w:p>
        </w:tc>
      </w:tr>
      <w:tr w:rsidR="00EE6297" w:rsidRPr="00226346" w14:paraId="1D81DE13" w14:textId="77777777" w:rsidTr="00EE6297">
        <w:tc>
          <w:tcPr>
            <w:tcW w:w="1942" w:type="dxa"/>
            <w:vAlign w:val="center"/>
          </w:tcPr>
          <w:p w14:paraId="68BA07CF" w14:textId="77777777" w:rsidR="00EE6297" w:rsidRPr="00226346" w:rsidRDefault="00EE6297" w:rsidP="00EE6297">
            <w:pPr>
              <w:spacing w:after="0" w:line="276" w:lineRule="auto"/>
              <w:rPr>
                <w:rFonts w:asciiTheme="minorHAnsi" w:hAnsiTheme="minorHAnsi" w:cstheme="minorHAnsi"/>
                <w:sz w:val="20"/>
                <w:szCs w:val="20"/>
              </w:rPr>
            </w:pPr>
            <w:r w:rsidRPr="00226346">
              <w:rPr>
                <w:rFonts w:asciiTheme="minorHAnsi" w:hAnsiTheme="minorHAnsi" w:cstheme="minorHAnsi"/>
                <w:sz w:val="20"/>
                <w:szCs w:val="20"/>
              </w:rPr>
              <w:t xml:space="preserve">Informe                   / Recomendaciones / </w:t>
            </w:r>
          </w:p>
          <w:p w14:paraId="28B44C66" w14:textId="3D6DF99C" w:rsidR="00EE6297" w:rsidRPr="00226346" w:rsidRDefault="00EE6297" w:rsidP="00EE6297">
            <w:pPr>
              <w:spacing w:after="0" w:line="276" w:lineRule="auto"/>
              <w:jc w:val="center"/>
              <w:rPr>
                <w:rFonts w:asciiTheme="minorHAnsi" w:hAnsiTheme="minorHAnsi" w:cstheme="minorHAnsi"/>
                <w:b/>
                <w:bCs/>
                <w:sz w:val="20"/>
                <w:szCs w:val="20"/>
              </w:rPr>
            </w:pPr>
            <w:r w:rsidRPr="00226346">
              <w:rPr>
                <w:rFonts w:asciiTheme="minorHAnsi" w:hAnsiTheme="minorHAnsi" w:cstheme="minorHAnsi"/>
                <w:b/>
                <w:bCs/>
                <w:sz w:val="20"/>
                <w:szCs w:val="20"/>
              </w:rPr>
              <w:t>6</w:t>
            </w:r>
          </w:p>
        </w:tc>
        <w:tc>
          <w:tcPr>
            <w:tcW w:w="2226" w:type="dxa"/>
            <w:vAlign w:val="center"/>
          </w:tcPr>
          <w:p w14:paraId="27E3BEE5" w14:textId="71AD8602" w:rsidR="00EE6297" w:rsidRPr="00226346" w:rsidRDefault="00EE6297" w:rsidP="00EE6297">
            <w:pPr>
              <w:spacing w:after="0" w:line="276" w:lineRule="auto"/>
              <w:jc w:val="both"/>
              <w:rPr>
                <w:rFonts w:asciiTheme="minorHAnsi" w:hAnsiTheme="minorHAnsi" w:cstheme="minorHAnsi"/>
                <w:sz w:val="20"/>
                <w:szCs w:val="20"/>
              </w:rPr>
            </w:pPr>
            <w:r w:rsidRPr="00226346">
              <w:rPr>
                <w:sz w:val="20"/>
                <w:szCs w:val="20"/>
              </w:rPr>
              <w:t xml:space="preserve">Establecer estrategias de promoción, difusión e incorporación de los servicios educativos del ISEJA. </w:t>
            </w:r>
          </w:p>
        </w:tc>
        <w:tc>
          <w:tcPr>
            <w:tcW w:w="2753" w:type="dxa"/>
            <w:vAlign w:val="center"/>
          </w:tcPr>
          <w:p w14:paraId="671F28DC" w14:textId="4062FC7A" w:rsidR="00EE6297" w:rsidRPr="00226346" w:rsidRDefault="00EE6297" w:rsidP="00EE6297">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Pr="00EE6297">
              <w:rPr>
                <w:rFonts w:asciiTheme="minorHAnsi" w:hAnsiTheme="minorHAnsi" w:cstheme="minorHAnsi"/>
                <w:sz w:val="20"/>
                <w:szCs w:val="20"/>
              </w:rPr>
              <w:t xml:space="preserve">e buscará programar y desarrollar estrategias de promoción y difusión de los servicios educativos del ISEJA, como ejemplo las brigadas de promoción e incorporación en las localidades de mayor rezago </w:t>
            </w:r>
            <w:r w:rsidRPr="00EE6297">
              <w:rPr>
                <w:rFonts w:asciiTheme="minorHAnsi" w:hAnsiTheme="minorHAnsi" w:cstheme="minorHAnsi"/>
                <w:sz w:val="20"/>
                <w:szCs w:val="20"/>
              </w:rPr>
              <w:lastRenderedPageBreak/>
              <w:t>educativo, así como la asistencia a eventos públicos para promover la incorporación de jóvenes y adultos al Programa educativo.</w:t>
            </w:r>
          </w:p>
        </w:tc>
        <w:tc>
          <w:tcPr>
            <w:tcW w:w="2303" w:type="dxa"/>
            <w:vAlign w:val="center"/>
          </w:tcPr>
          <w:p w14:paraId="316F7FAD" w14:textId="3E347CE6" w:rsidR="00EE6297" w:rsidRPr="00226346" w:rsidRDefault="00EE6297" w:rsidP="00EE6297">
            <w:pPr>
              <w:spacing w:after="0" w:line="276" w:lineRule="auto"/>
              <w:jc w:val="both"/>
              <w:rPr>
                <w:rFonts w:asciiTheme="minorHAnsi" w:hAnsiTheme="minorHAnsi" w:cstheme="minorHAnsi"/>
                <w:sz w:val="20"/>
                <w:szCs w:val="20"/>
              </w:rPr>
            </w:pPr>
            <w:r w:rsidRPr="00226346">
              <w:rPr>
                <w:sz w:val="20"/>
                <w:szCs w:val="20"/>
              </w:rPr>
              <w:lastRenderedPageBreak/>
              <w:t>Establecer estrategias de promoción, difusión e incorporación de los servicios educativos del ISEJA.</w:t>
            </w:r>
          </w:p>
        </w:tc>
      </w:tr>
      <w:tr w:rsidR="00EE6297" w:rsidRPr="00226346" w14:paraId="4BD3922F" w14:textId="77777777" w:rsidTr="00EE6297">
        <w:tc>
          <w:tcPr>
            <w:tcW w:w="1942" w:type="dxa"/>
            <w:vAlign w:val="center"/>
          </w:tcPr>
          <w:p w14:paraId="2070EBE8" w14:textId="77777777" w:rsidR="00EE6297" w:rsidRPr="00226346" w:rsidRDefault="00EE6297" w:rsidP="00EE6297">
            <w:pPr>
              <w:spacing w:after="0" w:line="276" w:lineRule="auto"/>
              <w:rPr>
                <w:rFonts w:asciiTheme="minorHAnsi" w:hAnsiTheme="minorHAnsi" w:cstheme="minorHAnsi"/>
                <w:sz w:val="20"/>
                <w:szCs w:val="20"/>
              </w:rPr>
            </w:pPr>
            <w:r w:rsidRPr="00226346">
              <w:rPr>
                <w:rFonts w:asciiTheme="minorHAnsi" w:hAnsiTheme="minorHAnsi" w:cstheme="minorHAnsi"/>
                <w:sz w:val="20"/>
                <w:szCs w:val="20"/>
              </w:rPr>
              <w:t xml:space="preserve">Informe                   / Recomendaciones / </w:t>
            </w:r>
          </w:p>
          <w:p w14:paraId="43575F6A" w14:textId="09B4560B" w:rsidR="00EE6297" w:rsidRPr="00226346" w:rsidRDefault="00EE6297" w:rsidP="00EE6297">
            <w:pPr>
              <w:spacing w:after="0" w:line="276" w:lineRule="auto"/>
              <w:jc w:val="center"/>
              <w:rPr>
                <w:rFonts w:asciiTheme="minorHAnsi" w:hAnsiTheme="minorHAnsi" w:cstheme="minorHAnsi"/>
                <w:b/>
                <w:bCs/>
                <w:sz w:val="20"/>
                <w:szCs w:val="20"/>
              </w:rPr>
            </w:pPr>
            <w:r w:rsidRPr="00226346">
              <w:rPr>
                <w:rFonts w:asciiTheme="minorHAnsi" w:hAnsiTheme="minorHAnsi" w:cstheme="minorHAnsi"/>
                <w:b/>
                <w:bCs/>
                <w:sz w:val="20"/>
                <w:szCs w:val="20"/>
              </w:rPr>
              <w:t>7</w:t>
            </w:r>
          </w:p>
        </w:tc>
        <w:tc>
          <w:tcPr>
            <w:tcW w:w="2226" w:type="dxa"/>
            <w:vAlign w:val="center"/>
          </w:tcPr>
          <w:p w14:paraId="09F42E44" w14:textId="28FAF277" w:rsidR="00EE6297" w:rsidRPr="00226346" w:rsidRDefault="00EE6297" w:rsidP="00EE6297">
            <w:pPr>
              <w:spacing w:after="0" w:line="276" w:lineRule="auto"/>
              <w:jc w:val="both"/>
              <w:rPr>
                <w:rFonts w:asciiTheme="minorHAnsi" w:hAnsiTheme="minorHAnsi" w:cstheme="minorHAnsi"/>
                <w:sz w:val="20"/>
                <w:szCs w:val="20"/>
              </w:rPr>
            </w:pPr>
            <w:r w:rsidRPr="00226346">
              <w:rPr>
                <w:sz w:val="20"/>
                <w:szCs w:val="20"/>
              </w:rPr>
              <w:t>Documentar los procedimientos para las prestación y entrega de los bienes y servicios del programa de acuerdo a la metodología</w:t>
            </w:r>
          </w:p>
        </w:tc>
        <w:tc>
          <w:tcPr>
            <w:tcW w:w="2753" w:type="dxa"/>
            <w:vAlign w:val="center"/>
          </w:tcPr>
          <w:p w14:paraId="779FA87D" w14:textId="4AF4FA9D" w:rsidR="00EE6297" w:rsidRPr="00226346" w:rsidRDefault="00EE6297" w:rsidP="00EE6297">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l</w:t>
            </w:r>
            <w:r>
              <w:rPr>
                <w:rFonts w:asciiTheme="minorHAnsi" w:hAnsiTheme="minorHAnsi" w:cstheme="minorHAnsi"/>
                <w:sz w:val="20"/>
                <w:szCs w:val="20"/>
              </w:rPr>
              <w:t xml:space="preserve">os procedimientos para la prestación de los bienes y servicios </w:t>
            </w:r>
            <w:r w:rsidRPr="00226346">
              <w:rPr>
                <w:sz w:val="20"/>
                <w:szCs w:val="20"/>
              </w:rPr>
              <w:t>del programa</w:t>
            </w:r>
            <w:r>
              <w:rPr>
                <w:sz w:val="20"/>
                <w:szCs w:val="20"/>
              </w:rPr>
              <w:t>,</w:t>
            </w:r>
            <w:r w:rsidRPr="00226346">
              <w:rPr>
                <w:sz w:val="20"/>
                <w:szCs w:val="20"/>
              </w:rPr>
              <w:t xml:space="preserve"> </w:t>
            </w:r>
            <w:r>
              <w:rPr>
                <w:sz w:val="20"/>
                <w:szCs w:val="20"/>
              </w:rPr>
              <w:t xml:space="preserve">se encuentran documentados </w:t>
            </w:r>
            <w:r w:rsidRPr="00226346">
              <w:rPr>
                <w:sz w:val="20"/>
                <w:szCs w:val="20"/>
              </w:rPr>
              <w:t>de acuerdo a la metodología</w:t>
            </w:r>
            <w:r>
              <w:rPr>
                <w:sz w:val="20"/>
                <w:szCs w:val="20"/>
              </w:rPr>
              <w:t xml:space="preserve">, en el documento normativo </w:t>
            </w:r>
            <w:r w:rsidRPr="003155B4">
              <w:rPr>
                <w:sz w:val="20"/>
                <w:szCs w:val="20"/>
              </w:rPr>
              <w:t>Reglas de Operación del Programa Educación para Adultos (INEA) para el ejercicio fiscal 202</w:t>
            </w:r>
            <w:r>
              <w:rPr>
                <w:sz w:val="20"/>
                <w:szCs w:val="20"/>
              </w:rPr>
              <w:t>4, publicadas en el Diario Oficial de la Federación, el día 29 de diciembre del 2023,</w:t>
            </w:r>
            <w:r w:rsidRPr="003155B4">
              <w:t xml:space="preserve"> </w:t>
            </w:r>
            <w:r>
              <w:t xml:space="preserve">en el apartado de Anexos, </w:t>
            </w:r>
            <w:r w:rsidRPr="003155B4">
              <w:rPr>
                <w:sz w:val="20"/>
                <w:szCs w:val="20"/>
              </w:rPr>
              <w:t>Anexo 6 Diagrama de Flujo de la persona educanda</w:t>
            </w:r>
            <w:r>
              <w:rPr>
                <w:sz w:val="20"/>
                <w:szCs w:val="20"/>
              </w:rPr>
              <w:t xml:space="preserve"> (Pagina 44 – 46) y </w:t>
            </w:r>
            <w:r w:rsidRPr="003155B4">
              <w:rPr>
                <w:sz w:val="20"/>
                <w:szCs w:val="20"/>
              </w:rPr>
              <w:t>Anexo 7 Diagrama de Flujo de la persona voluntaria beneficiaria del subsidio</w:t>
            </w:r>
            <w:r>
              <w:rPr>
                <w:sz w:val="20"/>
                <w:szCs w:val="20"/>
              </w:rPr>
              <w:t xml:space="preserve"> (Pagina 46 - 48).</w:t>
            </w:r>
          </w:p>
        </w:tc>
        <w:tc>
          <w:tcPr>
            <w:tcW w:w="2303" w:type="dxa"/>
            <w:vAlign w:val="center"/>
          </w:tcPr>
          <w:p w14:paraId="430FAFAF" w14:textId="224F48A1" w:rsidR="00EE6297" w:rsidRPr="00226346" w:rsidRDefault="00EE6297" w:rsidP="00EE6297">
            <w:pPr>
              <w:spacing w:after="0" w:line="276" w:lineRule="auto"/>
              <w:jc w:val="both"/>
              <w:rPr>
                <w:rFonts w:asciiTheme="minorHAnsi" w:hAnsiTheme="minorHAnsi" w:cstheme="minorHAnsi"/>
                <w:sz w:val="20"/>
                <w:szCs w:val="20"/>
              </w:rPr>
            </w:pPr>
            <w:r w:rsidRPr="00226346">
              <w:rPr>
                <w:sz w:val="20"/>
                <w:szCs w:val="20"/>
              </w:rPr>
              <w:t>Documentar los procedimientos para las prestación y entrega de los bienes y servicios del programa de acuerdo a la metodología.</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6F39EA11"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226346">
        <w:rPr>
          <w:rFonts w:asciiTheme="minorHAnsi" w:hAnsiTheme="minorHAnsi" w:cstheme="minorHAnsi"/>
          <w:sz w:val="20"/>
          <w:szCs w:val="24"/>
        </w:rPr>
        <w:t>Específica (de proceso con 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08961942" w14:textId="77777777" w:rsidR="00226346" w:rsidRPr="00226346" w:rsidRDefault="00226346" w:rsidP="00226346">
      <w:pPr>
        <w:pStyle w:val="Prrafodelista"/>
        <w:numPr>
          <w:ilvl w:val="0"/>
          <w:numId w:val="3"/>
        </w:numPr>
        <w:spacing w:line="276" w:lineRule="auto"/>
        <w:ind w:right="1"/>
        <w:jc w:val="both"/>
        <w:rPr>
          <w:rFonts w:asciiTheme="minorHAnsi" w:hAnsiTheme="minorHAnsi" w:cstheme="minorHAnsi"/>
          <w:sz w:val="20"/>
          <w:szCs w:val="20"/>
        </w:rPr>
      </w:pPr>
      <w:r w:rsidRPr="00226346">
        <w:rPr>
          <w:rFonts w:asciiTheme="minorHAnsi" w:hAnsiTheme="minorHAnsi" w:cstheme="minorHAnsi"/>
          <w:sz w:val="20"/>
          <w:szCs w:val="20"/>
        </w:rPr>
        <w:t>Para reforzar este punto, sería útil incluir de manera más explícita en el documento diagnóstico una frase como: “El objetivo es disminuir el porcentaje de personas en rezago educativo mediante...”.</w:t>
      </w:r>
    </w:p>
    <w:p w14:paraId="0153A6C3" w14:textId="77777777" w:rsidR="00226346" w:rsidRPr="00226346" w:rsidRDefault="00226346" w:rsidP="00226346">
      <w:pPr>
        <w:pStyle w:val="Prrafodelista"/>
        <w:numPr>
          <w:ilvl w:val="0"/>
          <w:numId w:val="3"/>
        </w:numPr>
        <w:spacing w:line="276" w:lineRule="auto"/>
        <w:ind w:right="1"/>
        <w:jc w:val="both"/>
        <w:rPr>
          <w:rFonts w:asciiTheme="minorHAnsi" w:hAnsiTheme="minorHAnsi" w:cstheme="minorHAnsi"/>
          <w:sz w:val="20"/>
          <w:szCs w:val="20"/>
        </w:rPr>
      </w:pPr>
      <w:r w:rsidRPr="00226346">
        <w:rPr>
          <w:rFonts w:asciiTheme="minorHAnsi" w:hAnsiTheme="minorHAnsi" w:cstheme="minorHAnsi"/>
          <w:sz w:val="20"/>
          <w:szCs w:val="20"/>
        </w:rPr>
        <w:t>Continuar brindando los servicios educativos de manera gratuita y mediante estrategias de atención, con un enfoque integral e incluyente, ampliando la cobertura educativa a grupos en situación de vulnerabilidad, especialmente a Jornaleros Agrícolas, Adultos Mayores, al grupo especial de niños y Jóvenes de 10 a 14 años, pacientes de los centros de rehabilitación, entre otros, contando con la participación y solidaridad social.</w:t>
      </w:r>
    </w:p>
    <w:p w14:paraId="013139A5" w14:textId="77777777" w:rsidR="00226346" w:rsidRPr="00226346" w:rsidRDefault="00226346" w:rsidP="00226346">
      <w:pPr>
        <w:pStyle w:val="Prrafodelista"/>
        <w:numPr>
          <w:ilvl w:val="0"/>
          <w:numId w:val="3"/>
        </w:numPr>
        <w:spacing w:line="276" w:lineRule="auto"/>
        <w:ind w:right="1"/>
        <w:jc w:val="both"/>
        <w:rPr>
          <w:rFonts w:asciiTheme="minorHAnsi" w:hAnsiTheme="minorHAnsi" w:cstheme="minorHAnsi"/>
          <w:sz w:val="20"/>
          <w:szCs w:val="20"/>
        </w:rPr>
      </w:pPr>
      <w:r w:rsidRPr="00226346">
        <w:rPr>
          <w:rFonts w:asciiTheme="minorHAnsi" w:hAnsiTheme="minorHAnsi" w:cstheme="minorHAnsi"/>
          <w:sz w:val="20"/>
          <w:szCs w:val="20"/>
        </w:rPr>
        <w:lastRenderedPageBreak/>
        <w:t>Continuar actualizando el documento diagnóstico para conocer el beneficio de la operación del programa en la población que presenta el programa.</w:t>
      </w:r>
    </w:p>
    <w:p w14:paraId="547E75F4" w14:textId="77777777" w:rsidR="00226346" w:rsidRPr="00226346" w:rsidRDefault="00226346" w:rsidP="00226346">
      <w:pPr>
        <w:pStyle w:val="Prrafodelista"/>
        <w:numPr>
          <w:ilvl w:val="0"/>
          <w:numId w:val="3"/>
        </w:numPr>
        <w:spacing w:line="276" w:lineRule="auto"/>
        <w:ind w:right="1"/>
        <w:jc w:val="both"/>
        <w:rPr>
          <w:rFonts w:asciiTheme="minorHAnsi" w:hAnsiTheme="minorHAnsi" w:cstheme="minorHAnsi"/>
          <w:sz w:val="20"/>
          <w:szCs w:val="20"/>
        </w:rPr>
      </w:pPr>
      <w:r w:rsidRPr="00226346">
        <w:rPr>
          <w:rFonts w:asciiTheme="minorHAnsi" w:hAnsiTheme="minorHAnsi" w:cstheme="minorHAnsi"/>
          <w:sz w:val="20"/>
          <w:szCs w:val="20"/>
        </w:rPr>
        <w:t xml:space="preserve">Unificar la sintaxis del objetivo central de las reglas de operación (ROP), árbol de objetivos y el de la MIR del Pp. </w:t>
      </w:r>
    </w:p>
    <w:p w14:paraId="127FFA8B" w14:textId="77777777" w:rsidR="00226346" w:rsidRPr="00226346" w:rsidRDefault="00226346" w:rsidP="00226346">
      <w:pPr>
        <w:pStyle w:val="Prrafodelista"/>
        <w:numPr>
          <w:ilvl w:val="0"/>
          <w:numId w:val="3"/>
        </w:numPr>
        <w:spacing w:line="276" w:lineRule="auto"/>
        <w:ind w:right="1"/>
        <w:jc w:val="both"/>
        <w:rPr>
          <w:rFonts w:asciiTheme="minorHAnsi" w:hAnsiTheme="minorHAnsi" w:cstheme="minorHAnsi"/>
          <w:sz w:val="20"/>
          <w:szCs w:val="20"/>
        </w:rPr>
      </w:pPr>
      <w:r w:rsidRPr="00226346">
        <w:rPr>
          <w:rFonts w:asciiTheme="minorHAnsi" w:hAnsiTheme="minorHAnsi" w:cstheme="minorHAnsi"/>
          <w:sz w:val="20"/>
          <w:szCs w:val="20"/>
        </w:rPr>
        <w:t xml:space="preserve">Estandarizar la redacción de los documentos normativos del Pp </w:t>
      </w:r>
    </w:p>
    <w:p w14:paraId="52BB655C" w14:textId="77777777" w:rsidR="00226346" w:rsidRPr="00226346" w:rsidRDefault="00226346" w:rsidP="00226346">
      <w:pPr>
        <w:pStyle w:val="Prrafodelista"/>
        <w:numPr>
          <w:ilvl w:val="0"/>
          <w:numId w:val="3"/>
        </w:numPr>
        <w:spacing w:line="276" w:lineRule="auto"/>
        <w:ind w:right="1"/>
        <w:jc w:val="both"/>
        <w:rPr>
          <w:rFonts w:asciiTheme="minorHAnsi" w:hAnsiTheme="minorHAnsi" w:cstheme="minorHAnsi"/>
          <w:sz w:val="20"/>
          <w:szCs w:val="20"/>
        </w:rPr>
      </w:pPr>
      <w:r w:rsidRPr="00226346">
        <w:rPr>
          <w:rFonts w:asciiTheme="minorHAnsi" w:hAnsiTheme="minorHAnsi" w:cstheme="minorHAnsi"/>
          <w:sz w:val="20"/>
          <w:szCs w:val="20"/>
        </w:rPr>
        <w:t xml:space="preserve">Establecer estrategias de promoción, difusión e incorporación de los servicios educativos del ISEJA. </w:t>
      </w:r>
    </w:p>
    <w:p w14:paraId="7A2C6378" w14:textId="77777777" w:rsidR="00226346" w:rsidRPr="00226346" w:rsidRDefault="00226346" w:rsidP="00226346">
      <w:pPr>
        <w:pStyle w:val="Prrafodelista"/>
        <w:numPr>
          <w:ilvl w:val="0"/>
          <w:numId w:val="3"/>
        </w:numPr>
        <w:spacing w:line="276" w:lineRule="auto"/>
        <w:ind w:right="1"/>
        <w:jc w:val="both"/>
        <w:rPr>
          <w:rFonts w:asciiTheme="minorHAnsi" w:hAnsiTheme="minorHAnsi" w:cstheme="minorHAnsi"/>
          <w:sz w:val="20"/>
          <w:szCs w:val="20"/>
        </w:rPr>
      </w:pPr>
      <w:r w:rsidRPr="00226346">
        <w:rPr>
          <w:rFonts w:asciiTheme="minorHAnsi" w:hAnsiTheme="minorHAnsi" w:cstheme="minorHAnsi"/>
          <w:sz w:val="20"/>
          <w:szCs w:val="20"/>
        </w:rPr>
        <w:t>Documentar los procedimientos para las prestación y entrega de los bienes y servicios del programa de acuerdo a la metodología</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21D646CF"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D02928">
        <w:rPr>
          <w:rFonts w:asciiTheme="minorHAnsi" w:hAnsiTheme="minorHAnsi" w:cstheme="minorHAnsi"/>
          <w:bCs/>
          <w:sz w:val="20"/>
          <w:szCs w:val="20"/>
          <w:lang w:val="es-ES"/>
        </w:rPr>
        <w:t>4</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2E2F" w14:textId="77777777" w:rsidR="00A67CB2" w:rsidRDefault="00A67CB2" w:rsidP="008E5209">
      <w:pPr>
        <w:spacing w:after="0" w:line="240" w:lineRule="auto"/>
      </w:pPr>
      <w:r>
        <w:separator/>
      </w:r>
    </w:p>
  </w:endnote>
  <w:endnote w:type="continuationSeparator" w:id="0">
    <w:p w14:paraId="2D13D389" w14:textId="77777777" w:rsidR="00A67CB2" w:rsidRDefault="00A67CB2"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Content>
      <w:p w14:paraId="1A126E55" w14:textId="3001553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83413E">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Content>
      <w:p w14:paraId="7B9C6154" w14:textId="10AAD8D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4446C" w:rsidRPr="00B4446C">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8F81" w14:textId="77777777" w:rsidR="00A67CB2" w:rsidRDefault="00A67CB2" w:rsidP="008E5209">
      <w:pPr>
        <w:spacing w:after="0" w:line="240" w:lineRule="auto"/>
      </w:pPr>
      <w:r>
        <w:separator/>
      </w:r>
    </w:p>
  </w:footnote>
  <w:footnote w:type="continuationSeparator" w:id="0">
    <w:p w14:paraId="383F2A77" w14:textId="77777777" w:rsidR="00A67CB2" w:rsidRDefault="00A67CB2"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226346" w:rsidRDefault="00B53A27" w:rsidP="00B53A27">
    <w:pPr>
      <w:ind w:left="3828"/>
      <w:jc w:val="right"/>
      <w:rPr>
        <w:rFonts w:ascii="Medium" w:hAnsi="Medium" w:cs="Arial"/>
        <w:b/>
        <w:color w:val="404040" w:themeColor="text1" w:themeTint="BF"/>
        <w:sz w:val="26"/>
        <w:szCs w:val="26"/>
      </w:rPr>
    </w:pPr>
    <w:r w:rsidRPr="00226346">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226346">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9905088">
    <w:abstractNumId w:val="0"/>
  </w:num>
  <w:num w:numId="2" w16cid:durableId="1126579596">
    <w:abstractNumId w:val="1"/>
  </w:num>
  <w:num w:numId="3" w16cid:durableId="393040789">
    <w:abstractNumId w:val="3"/>
  </w:num>
  <w:num w:numId="4" w16cid:durableId="38750074">
    <w:abstractNumId w:val="2"/>
  </w:num>
  <w:num w:numId="5" w16cid:durableId="72255902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26346"/>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0468"/>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67CB2"/>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928"/>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81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E6297"/>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D7B3E"/>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564F-4BB4-4727-A85E-86720E11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1191</Words>
  <Characters>6555</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CLSinaloa</dc:creator>
  <cp:lastModifiedBy>usuario</cp:lastModifiedBy>
  <cp:revision>2</cp:revision>
  <cp:lastPrinted>2021-10-18T17:24:00Z</cp:lastPrinted>
  <dcterms:created xsi:type="dcterms:W3CDTF">2025-10-01T16:06:00Z</dcterms:created>
  <dcterms:modified xsi:type="dcterms:W3CDTF">2025-10-01T16:06:00Z</dcterms:modified>
</cp:coreProperties>
</file>